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Рекомендации по выдвижению кандидатов и форма подачи предложений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6tlki6szs06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Настоящие Рекомендации определяют порядок выдвижения кандидатов для участия во Всероссийской премии «Человек с большим сердцем».</w:t>
        <w:br w:type="textWrapping"/>
        <w:t xml:space="preserve"> 1.2. Цель выдвижения — обеспечить открытый, прозрачный и объективный процесс формирования списка номинантов Премии.</w:t>
        <w:br w:type="textWrapping"/>
        <w:t xml:space="preserve"> 1.3. Рекомендации обязательны для исполнения всеми лицами и организациями, подающими кандидатуры.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rxps4b4ujgh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 Критерии выдвижения кандидатов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Кандидатом на соискание Премии может быть гражданин Российской Федерации, а также организация (некоммерческая, общественная, образовательная или иная), осуществляющая социально значимую деятельность.</w:t>
        <w:br w:type="textWrapping"/>
        <w:t xml:space="preserve"> 2.2. Кандидаты должны соответствовать следующим критериям: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доказанный вклад в решение социальных проблем, развитие общества и поддержку незащищённых групп населения;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высокий уровень личной вовлечённости и инициативности;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наличие подтверждённых результатов деятельности (проекты, инициативы, достижения);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положительная репутация и отсутствие сведений, дискредитирующих кандидата.</w:t>
        <w:br w:type="textWrapping"/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d4cpk80t5wj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3. Субъекты выдвижения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Выдвижение кандидатов может осуществляться: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самими участниками (самовыдвижение);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третьими лицами — физическими и юридическими (номинация со стороны).</w:t>
        <w:br w:type="textWrapping"/>
        <w:t xml:space="preserve"> 3.2. Каждое выдвижение должно сопровождаться пакетом документов и материалов, подтверждающих достижения кандидата.</w:t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dphup3iv5ca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4. Порядок подачи предложений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Выдвижение кандидатов осуществляется посредством заполнения установленной формы заявки.</w:t>
        <w:br w:type="textWrapping"/>
        <w:t xml:space="preserve"> 4.2. Обязательные поля формы: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Фамилия, имя, отчество (для физических лиц) или наименование организации;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Регион деятельности;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Краткое описание заслуг и достижений (до 1000 символов);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Подробное описание проекта или инициативы (до 5000 символов);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Контактные данные кандидата или представителя;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Рекомендации и отзывы (при наличии).</w:t>
        <w:br w:type="textWrapping"/>
        <w:t xml:space="preserve"> 4.3. К заявке могут быть приложены: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фото- и видеоматериалы;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публикации в СМИ;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благодарственные письма, сертификаты и иные документы, подтверждающие деятельность кандидата.</w:t>
        <w:br w:type="textWrapping"/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p75ij1klzii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5. Рассмотрение предложений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Все поступившие предложения фиксируются в реестре заявок Оргкомитета Премии.</w:t>
        <w:br w:type="textWrapping"/>
        <w:t xml:space="preserve"> 5.2. Оргкомитет проводит предварительную проверку материалов на соответствие установленным критериям.</w:t>
        <w:br w:type="textWrapping"/>
        <w:t xml:space="preserve"> 5.3. Допущенные кандидаты передаются на рассмотрение Экспертного совета.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jpm2zdl86l7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6. Итоговые положения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Настоящие Рекомендации вступают в силу с момента их утверждения Оргкомитетом Премии.</w:t>
        <w:br w:type="textWrapping"/>
        <w:t xml:space="preserve"> 6.2. Оргкомитет оставляет за собой право запросить дополнительные сведения и материалы для подтверждения данных, представленных в заявке.</w:t>
        <w:br w:type="textWrapping"/>
        <w:t xml:space="preserve"> 6.3. Все предложения по выдвижению кандидатов должны быть поданы в установленные сроки.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